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NW_32163 (Nordrhein-Westfalen) — Feldesbehandlungskosten</w:t>
      </w:r>
    </w:p>
    <w:p>
      <w:r>
        <w:rPr>
          <w:color w:val="555555"/>
          <w:sz w:val="18"/>
        </w:rPr>
        <w:t xml:space="preserve">FFVO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Feldesbehandlungskosten sind die für eine Erdgaslagerstätte bei der Förderung des Erdgases anfallenden</w:t>
      </w:r>
    </w:p>
    <w:p>
      <w:r>
        <w:t xml:space="preserve">1. Kosten für den Transport vom Abgangsflansch am Bohrloch bis zur Aufbereitung einschließlich Kompression,</w:t>
      </w:r>
    </w:p>
    <w:p>
      <w:r>
        <w:t xml:space="preserve">2. Kosten für die Aufbereitung zur Herstellung qualitätsgerechter Gase und der aus gewinnungstechnischen Gründen mitgewonnenen Bodenschätze,</w:t>
      </w:r>
    </w:p>
    <w:p>
      <w:r>
        <w:t xml:space="preserve">3. Kosten für die Beseitigung des bei der Aufbereitung anfallenden Wassers bis zur Übergabestelle an einen Vorfluter oder einen Dritten oder durch Versenkung in einen bereits erschlossenen Schluckhorizont, wenn die Versenkung nicht gleichzeitig anderen Zwecken dient, sowie</w:t>
      </w:r>
    </w:p>
    <w:p>
      <w:r>
        <w:t xml:space="preserve">4. zentralen Verwaltungsgemeinkosten in Höhe von 18 Prozent der sich aus den Nummern 1 bis 3 ergebenden Kosten.</w:t>
      </w:r>
    </w:p>
    <w:p>
      <w:r>
        <w:t xml:space="preserve">(2) Bis 31. Dezember 2025 verringert sich die Förderabgabe je Lagerstätte um den Anteil der im Erhebungszeitraum entstandenen Feldesbehandlungskosten, der dem Prozentsatz nach § 10 entspricht, soweit diese Kosten nicht bei der Erhebung der Förderabgabe für einen anderen Bodenschatz berücksichtigt werden. Eine Berücksichtigung erfolgt nur bis zur Höhe der nach § 10 ermittelten Förderabgabe des in der Lagerstätte geförderten Erdgases. Diese Regelung verlängert sich jeweils um ein Jahr, wenn nicht mit Wirkung vom 1. Januar des jeweiligen Folgejahres etwas anderes bestimmt wird.</w:t>
      </w:r>
    </w:p>
    <w:p>
      <w:r>
        <w:t xml:space="preserve">Unterabschnitt 2</w:t>
      </w:r>
    </w:p>
    <w:p>
      <w:r>
        <w:t xml:space="preserve">Erdwärme, Steinsalz, Sole</w:t>
      </w:r>
    </w:p>
    <w:p>
      <w:r>
        <w:rPr>
          <w:color w:val="555555"/>
          <w:sz w:val="17"/>
        </w:rPr>
        <w:t xml:space="preserve">Zitiervorschlag: § 12 NW_32163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https://recht.nulegal.eu/gesetze/NW_32163/12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