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NW_32158 (Nordrhein-Westfalen) — Ergänzende Anwendung der Verordnung (EU) 2016/679</w:t>
      </w:r>
    </w:p>
    <w:p>
      <w:r>
        <w:rPr>
          <w:color w:val="555555"/>
          <w:sz w:val="18"/>
        </w:rPr>
        <w:t xml:space="preserve">DSG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der Verordnung (EU) 2016/679 über</w:t>
      </w:r>
    </w:p>
    <w:p>
      <w:r>
        <w:t xml:space="preserve">1. den Datenschutz durch Technikgestaltung und durch datenschutzfreundliche Voreinstellung nach Artikel 25 Absatz 1 und 2,</w:t>
      </w:r>
    </w:p>
    <w:p>
      <w:r>
        <w:t xml:space="preserve">2. gemeinsam für die Verarbeitung Verantwortliche gemäß Artikel 26,</w:t>
      </w:r>
    </w:p>
    <w:p>
      <w:r>
        <w:t xml:space="preserve">3. die Verarbeitungen unter der Aufsicht des Verantwortlichen oder des Auftragsverarbeiters nach Artikel 29,</w:t>
      </w:r>
    </w:p>
    <w:p>
      <w:r>
        <w:t xml:space="preserve">4. die Zusammenarbeit mit der Aufsichtsbehörde nach Artikel 31,</w:t>
      </w:r>
    </w:p>
    <w:p>
      <w:r>
        <w:t xml:space="preserve">5. die Benachrichtigung der von einer Verletzung des Schutzes personenbezogener Daten betroffenen Person gemäß Artikel 34,</w:t>
      </w:r>
    </w:p>
    <w:p>
      <w:r>
        <w:t xml:space="preserve">6. die Benennung, Stellung und Aufgaben des behördlichen Datenschutzbeauftragten nach Artikel 37 bis Artikel 39,</w:t>
      </w:r>
    </w:p>
    <w:p>
      <w:r>
        <w:t xml:space="preserve">7. die gegenseitige Amtshilfe nach Artikel 61 und</w:t>
      </w:r>
    </w:p>
    <w:p>
      <w:r>
        <w:t xml:space="preserve">8. das Recht auf wirksamen gerichtlichen Rechtsbehelf gegen eine Aufsichtsbehörde nach Artikel 78 Absatz 1 bis 3</w:t>
      </w:r>
    </w:p>
    <w:p>
      <w:r>
        <w:t xml:space="preserve">sowie die zu ihrer Durchführung erlassenen Vorschriften des Teils 2 dieses Gesetzes sind auf Datenverarbeitungen im Sinne von § 1 Absatz 2 dieses Gesetzes entsprechend anzuwenden.</w:t>
      </w:r>
    </w:p>
    <w:p>
      <w:r>
        <w:rPr>
          <w:color w:val="555555"/>
          <w:sz w:val="17"/>
        </w:rPr>
        <w:t xml:space="preserve">Zitiervorschlag: § 67 NW_32158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https://recht.nulegal.eu/gesetze/NW_32158/67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