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NW_32158 (Nordrhein-Westfalen) — Automatisierte Abrufverfahren und regelmäßige Datenübermittlung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Einrichtung eines automatisierten Verfahrens, das die Übermittlung gespeicherter personenbezogener Daten an andere öffentliche Stellen ermöglicht, ist zulässig, soweit die Verarbeitung der Daten zur Erfüllung von Zwecken nach Artikel 6 Absatz 1 Buchstabe c oder e der Verordnung (EU) 2016/679 erfolgt und eine Rechtsvorschrift dies zulässt. Die Zulässigkeit des einzelnen Abrufs bestimmt sich nach den Vorschriften der Verordnung (EU) 2016/679 und dieses Gesetzes.</w:t>
      </w:r>
    </w:p>
    <w:p>
      <w:r>
        <w:t xml:space="preserve">(2) Die obersten Landesbehörden werden ermächtigt, für die Behörden und Einrichtungen ihres Geschäftsbereichs sowie für die der Rechtsaufsicht des Landes unterliegenden sonstigen öffentlichen Stellen die Einrichtung automatisierter Abrufverfahren durch Rechtsverordnung zuzulassen. Ein solches Verfahren darf nur eingerichtet werden, soweit dies unter Berücksichtigung des informationellen Selbstbestimmungsrechts des betroffenen Personenkreises und der Aufgaben der beteiligten Stellen angemessen ist. Die Datenempfänger, die Datenart und der Zweck des Abrufs sind festzulegen. Die oder der Landesbeauftragte für Datenschutz und Informationsfreiheit ist frühzeitig zu unterrichten.</w:t>
      </w:r>
    </w:p>
    <w:p>
      <w:r>
        <w:t xml:space="preserve">(3) Die Absätze 1 und 2 gelten nicht für Datenbestände, die jedermann ohne oder nach besonderer Zulassung zur Benutzung offen stehen oder deren Veröffentlichung zulässig wäre.</w:t>
      </w:r>
    </w:p>
    <w:p>
      <w:r>
        <w:t xml:space="preserve">(4) Für die Einrichtung automatisierter Abrufverfahren innerhalb einer öffentlichen Stelle gelten Absatz 2 Satz 2 bis 4 sowie Absatz 3 entsprechend.</w:t>
      </w:r>
    </w:p>
    <w:p>
      <w:r>
        <w:t xml:space="preserve">(5) Für die Zulassung regelmäßiger Datenübermittlungen sind die Absätze 1 bis 4 entsprechend anzuwenden.</w:t>
      </w:r>
    </w:p>
    <w:p>
      <w:r>
        <w:rPr>
          <w:color w:val="555555"/>
          <w:sz w:val="17"/>
        </w:rPr>
        <w:t xml:space="preserve">Zitiervorschlag: § 6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