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NW_32158 (Nordrhein-Westfalen) — Datenschutz-Folgenabschätzung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eine Form der Verarbeitung, insbesondere bei Verwendung neuer Technologien, aufgrund der Art, des Umfangs, der Umstände und der Zwecke der Verarbeitung voraussichtlich eine hohes Risiko für die Rechte und Freiheiten betroffener Personen zur Folge, hat der Verantwortliche vorab eine Abschätzung der Folgen der vorgesehenen Verarbeitungsvorgänge für den Schutz personenbezogener Daten durchzuführen.</w:t>
      </w:r>
    </w:p>
    <w:p>
      <w:r>
        <w:t xml:space="preserve">(2) Für die Untersuchung mehrerer ähnlicher Verarbeitungsvorgänge mit ähnlich hohen Risiken kann eine gemeinsame Datenschutz-Folgenabschätzung vorgenommen werden.</w:t>
      </w:r>
    </w:p>
    <w:p>
      <w:r>
        <w:t xml:space="preserve">(3) Der Verantwortliche hat die Datenschutzbeauftragte oder den Datenschutzbeauftragten an der Durchführung der Folgenabschätzung zu beteiligen.</w:t>
      </w:r>
    </w:p>
    <w:p>
      <w:r>
        <w:t xml:space="preserve">(4) Die Folgenabschätzung hat den berechtigten Interessen der von der Verarbeitung betroffenen Personen Rechnung zu tragen und zumindest die in Artikel 35 Absatz 7 der Verordnung (EU) 2016/679 genannten Anforderungen zu beachten.</w:t>
      </w:r>
    </w:p>
    <w:p>
      <w:r>
        <w:t xml:space="preserve">(5) Erforderlichenfalls führt der Verantwortliche eine Überprüfung durch, um zu bewerten, ob die Verarbeitung gemäß der Datenschutz-Folgenabschätzung durchgeführt wird; dies gilt zumindest, wenn hinsichtlich des mit den Verarbeitungsvorgängen verbundenen Risikos Änderungen eingetreten sind.</w:t>
      </w:r>
    </w:p>
    <w:p>
      <w:r>
        <w:rPr>
          <w:color w:val="555555"/>
          <w:sz w:val="17"/>
        </w:rPr>
        <w:t xml:space="preserve">Zitiervorschlag: § 56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