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NW_32158 (Nordrhein-Westfalen) — Verfahren bei Übermittlungen</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Verantwortliche hat angemessene Maßnahmen zu ergreifen, um zu gewährleisten, dass personenbezogene Daten, die unrichtig, unvollständig oder nicht mehr aktuell sind, nicht übermittelt oder sonst zur Verfügung gestellt werden. Zu diesem Zweck hat er, soweit dies mit angemessenem Aufwand möglich ist, die Qualität der Daten vor ihrer Übermittlung oder Bereitstellung zu überprüfen. Bei jeder Übermittlung personenbezogener Daten hat er zudem, soweit dies möglich und angemessen ist, Informationen beizufügen, die es dem Empfänger gestatten, die Richtigkeit, die Vollständigkeit und die Zuverlässigkeit der Daten sowie deren Aktualität zu beurteilen.</w:t>
      </w:r>
    </w:p>
    <w:p>
      <w:r>
        <w:t xml:space="preserve">(2) Gelten für die Verarbeitung von personenbezogenen Daten besondere Bedingungen, so hat bei Datenübermittlungen die übermittelnde Stelle den Empfänger auf diese Bedingungen und die Pflicht zu ihrer Beachtung hinzuweisen. Die Hinweispflicht kann durch eine entsprechende Markierung der Daten erfüllt werden.</w:t>
      </w:r>
    </w:p>
    <w:p>
      <w:r>
        <w:t xml:space="preserve">(3) Die übermittelnde Stelle darf auf Empfänger in anderen Mitgliedstaaten der Europäischen Union und auf Einrichtungen und sonstige Stellen, die nach den Kapiteln 4 und 5 des Titels V des Dritten Teils des Vertrags über die Arbeitsweise der Europäischen Union 2012/C 326/01 (ABl. C 326 vom 26.10.2012, S. 1) errichtet wurden, keine Bedingungen anwenden, die nicht auch für entsprechende innerstaatliche Datenübermittlungen gelten.</w:t>
      </w:r>
    </w:p>
    <w:p>
      <w:r>
        <w:rPr>
          <w:color w:val="555555"/>
          <w:sz w:val="17"/>
        </w:rPr>
        <w:t xml:space="preserve">Zitiervorschlag: § 44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