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NW_32158 (Nordrhein-Westfalen) — Ordnungswidrigkeiten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entgegen den Vorschriften der Verordnung (EU) 2016/679, dieses Gesetzes oder einer anderen Rechtsvorschrift des Landes Nordrhein-Westfalen geschützte personenbezogene Daten, die nicht offenkundig sind,</w:t>
      </w:r>
    </w:p>
    <w:p>
      <w:r>
        <w:t xml:space="preserve">1. erhebt, speichert, verwendet, verändert, übermittelt, weitergibt, zum Abruf bereit hält, den Personenbezug herstellt oder löscht oder</w:t>
      </w:r>
    </w:p>
    <w:p>
      <w:r>
        <w:t xml:space="preserve">2. abruft, einsieht, sich verschafft oder durch Vortäuschung falscher Tatsachen ihre Übermittlung oder Weitergabe an sich oder andere veranlasst.</w:t>
      </w:r>
    </w:p>
    <w:p>
      <w:r>
        <w:t xml:space="preserve">Ordnungswidrig handelt auch, wer unter den in Satz 1 genannten Voraussetzungen Einzelangaben über persönliche oder sachliche Verhältnisse einer nicht mehr bestimmbaren Person mit anderen Informationen zusammenführt und dadurch die betroffene Person wieder bestimmbar macht.</w:t>
      </w:r>
    </w:p>
    <w:p>
      <w:r>
        <w:t xml:space="preserve">(2) Die Ordnungswidrigkeit kann mit einer Geldbuße bis zu fünfzigtausend Euro geahndet werden.</w:t>
      </w:r>
    </w:p>
    <w:p>
      <w:r>
        <w:t xml:space="preserve">(3) Verwaltungsbehörde im Sinne von § 36 Absatz 1 Nummer 1 des Gesetzes über Ordnungswidrigkeiten in der Fassung der Bekanntmachung vom 19. Februar 1987 (BGBl. I S. 602) in der jeweils geltenden Fassung ist die oder der Landesbeauftragte für Datenschutz und Informationsfreiheit.</w:t>
      </w:r>
    </w:p>
    <w:p>
      <w:r>
        <w:t xml:space="preserve">(4) Gegen öffentliche Stellen im Sinne von § 5 Absatz 1 werden Geldbußen nach Absatz 2 oder einer anderen Rechtsvorschrift über den Schutz personenbezogener Daten nicht verhängt.</w:t>
      </w:r>
    </w:p>
    <w:p>
      <w:r>
        <w:rPr>
          <w:color w:val="555555"/>
          <w:sz w:val="17"/>
        </w:rPr>
        <w:t xml:space="preserve">Zitiervorschlag: § 33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