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NW_32158 (Nordrhein-Westfalen) — Begnadigungsverfahren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Begnadigungsverfahren ist die Verarbeitung personenbezogener Daten einschließlich Daten im Sinne von Artikel 9 Absatz 1 der Verordnung (EU) 2016/679 zulässig, soweit sie zur Ausübung des Gnadenrechts durch die zuständigen Stellen erforderlich ist. Die Datenverarbeitung unterliegt nicht der Kontrolle durch die Landesbeauftragte oder den Landesbeauftragten für Datenschutz und Informationsfreiheit.</w:t>
      </w:r>
    </w:p>
    <w:p>
      <w:r>
        <w:t xml:space="preserve">(2) In Begnadigungsverfahren finden nur Artikel 5 bis 7 sowie Kapitel IV mit Ausnahme der Artikel 33 und 34 der Verordnung (EU) 2016/679 entsprechende Anwendung.</w:t>
      </w:r>
    </w:p>
    <w:p>
      <w:r>
        <w:rPr>
          <w:color w:val="555555"/>
          <w:sz w:val="17"/>
        </w:rPr>
        <w:t xml:space="preserve">Zitiervorschlag: § 23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