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NW_32148 (Nordrhein-Westfalen)</w:t>
      </w:r>
    </w:p>
    <w:p>
      <w:r>
        <w:rPr>
          <w:color w:val="555555"/>
          <w:sz w:val="18"/>
        </w:rPr>
        <w:t xml:space="preserve">Verordnung über die Bestimmung der Zentralen Zahlstelle Justiz zur Vollstreckungsbehörde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zum 1. Januar 2018 in Kraft. Gleichzeitig tritt die Verordnung über die Bestimmung der Oberjustizkassen zu Vollstreckungsbehörden vom 30. April 1961 (GV. NRW. S. 207) außer Kraft.</w:t>
      </w:r>
    </w:p>
    <w:p>
      <w:r>
        <w:t xml:space="preserve">(2) Das Ministerium der Justiz berichtet der Landesregierung bis zum 31. Dezember 2023 und danach alle fünf Jahre über die Erfahrungen mit dieser Verordnung.</w:t>
      </w:r>
    </w:p>
    <w:p>
      <w:r>
        <w:t xml:space="preserve">Der Minister der Justiz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2 NW_32148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https://recht.nulegal.eu/gesetze/NW_32148/2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