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NW_32148 (Nordrhein-Westfalen)</w:t>
      </w:r>
    </w:p>
    <w:p>
      <w:r>
        <w:rPr>
          <w:color w:val="555555"/>
          <w:sz w:val="18"/>
        </w:rPr>
        <w:t xml:space="preserve">Verordnung über die Bestimmung der Zentralen Zahlstelle Justiz zur Vollstreckungsbehörde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Zentrale Zahlstelle Justiz (ZZJ) wird für sämtliche Ansprüche, die nach § 1 Absatz 1 Nummer 4, 4a und 7 des Justizbeitreibungsgesetzes in der Fassung der Bekanntmachung vom 27. Juni 2017 (BGBl. I S. 1926), das durch Artikel 5 des Gesetzes vom 30. Juni 2017 (BGBl. I S. 2094) geändert worden ist, einzuziehen sind, zur Vollstreckungsbehörde bestimmt.</w:t>
      </w:r>
    </w:p>
    <w:p>
      <w:r>
        <w:rPr>
          <w:color w:val="555555"/>
          <w:sz w:val="17"/>
        </w:rPr>
        <w:t xml:space="preserve">Zitiervorschlag: § 1 NW_32148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https://recht.nulegal.eu/gesetze/NW_32148/1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