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NW_32145 (Nordrhein-Westfalen) — Ausschüsse für Grundsatzfragen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Institut werden Ausschüsse für Grundsatzfragen gebildet. Jeder Ausschuß besteht aus je einer Vertreterin/einem Vertreter der Länder und bis zu zehn vom Bund benannten Vertreterinnen/Vertretern. Die fachlich betroffenen Ressorts sind angemessen zu beteiligen. Die Vertreterinnen/Vertreter der Länder bedürfen der Bestätigung durch die jeweilige Fachministerkonferenz. Die Obfrau/der Obmann kann weitere Personen als Gäste hinzuziehen. Die Hinzuziehung ständiger Gäste bedarf der Zustimmung des Verwaltungsrates. Obfrau/Obmann ist die Präsidentin/der Präsident oder ein(e) von ihr/ihm bestimmte(r) Angehörige(r) des Instituts.</w:t>
      </w:r>
    </w:p>
    <w:p>
      <w:r>
        <w:t xml:space="preserve">(2) Die Ausschüsse für Grundsatzfragen haben die Aufgabe, das Institut in technischen und rechtlichen Grundsatzfragen zu beraten. Sie beraten auch über die Aufstellung der Listen nach Artikel 2 Abs. 3.</w:t>
      </w:r>
    </w:p>
    <w:p>
      <w:r>
        <w:t xml:space="preserve">(3) Den Ausschüssen für Grundsatzfragen obliegt die Beschlußfassung über Empfehlungen zu Entwürfen von Europäischen Bewertungsdokumenten. Die Präsidentin/der Präsident unterrichtet den Bund über diese Beschlüsse. Sie/er darf von ihnen nur mit Zustimmung des Verwaltungsrates abweichen. Der Verwaltungsrat kann die Beschlüsse beanstanden, ändern und aufheben. Artikel 3 Abs. 4 Satz 1 und Artikel 4 Abs. 4 bleiben unberührt. Soweit eine Beschlussfassung der Ausschüsse für Grundsatzfragen aufgrund der zeitlichen Vorgaben der EU-Bauproduktenverordnung nicht möglich ist oder nicht notwendig erscheint, werden die Ausschüsse für Grundsatzfragen im Nachgang unterrichtet.</w:t>
      </w:r>
    </w:p>
    <w:p>
      <w:r>
        <w:t xml:space="preserve">(4) Die Ausschüsse für Grundsatzfragen fassen ihre Beschlüsse mit einfacher Mehrheit der anwesenden Mitglieder. Bei Stimmengleichheit gilt der Beschluß als abgelehnt.</w:t>
      </w:r>
    </w:p>
    <w:p>
      <w:r>
        <w:rPr>
          <w:color w:val="555555"/>
          <w:sz w:val="17"/>
        </w:rPr>
        <w:t xml:space="preserve">Zitiervorschlag: Art 9 NW_32145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