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NW_32113 (Nordrhein-Westfalen)</w:t>
      </w:r>
    </w:p>
    <w:p>
      <w:r>
        <w:rPr>
          <w:color w:val="555555"/>
          <w:sz w:val="18"/>
        </w:rPr>
        <w:t xml:space="preserve">Delegationsverordnung FM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Ermächtigungen zum Erlass von Rechtsverordnungen auf Grund von</w:t>
      </w:r>
    </w:p>
    <w:p>
      <w:r>
        <w:t xml:space="preserve">1. § 2 Absatz 2 Satz 1, Absatz 3 Satz 1, § 2a Absatz 1 Satz 1 und 2, Absatz 2 Satz 2, § 8a Absatz 3 Satz 1 und 2, § 17 Absatz 2 Satz 3 und Absatz 3 Satz 1 des Finanzverwaltungsgesetzes in der Fassung der Bekanntmachung vom 4. April 2006 (BGBl. I S. 846, 1202), in der jeweils geltenden Fassung,</w:t>
      </w:r>
    </w:p>
    <w:p>
      <w:r>
        <w:t xml:space="preserve">2. § 5 Absatz 1 Nummer 11 Satz 8 des Finanzverwaltungsgesetzes,</w:t>
      </w:r>
    </w:p>
    <w:p>
      <w:r>
        <w:t xml:space="preserve">3. § 88b Absatz 3 Satz 1 der Abgabenordnung in der Fassung der Bekanntmachung vom 1. Oktober 2002 (BGBl. I S. 3866; 2003 I S. 61), in der jeweils geltenden Fassung,</w:t>
      </w:r>
    </w:p>
    <w:p>
      <w:r>
        <w:t xml:space="preserve">4. § 19 Absatz 5 Satz 1 der Abgabenordnung,</w:t>
      </w:r>
    </w:p>
    <w:p>
      <w:r>
        <w:t xml:space="preserve">5. § 387 Absatz 2 Satz 1 und 2 der Abgabenordnung in Verbindung mit § 14 Absatz 3 Satz 2 des Fünften Vermögensbildungsgesetzes in der Fassung der Bekanntmachung vom 4. März 1994 (BGBl. I S. 406), § 8 Absatz 2 Satz 2 des Wohnungsbau-Prämiengesetzes in der Fassung der Bekanntmachung vom 30. Oktober 1997 (BGBl. I S. 2678), § 17 Satz 1 des Spielbankgesetzes NRW vom 13. November 2012 (GV. NRW. S. 524), § 29a Absatz 2 des Berlinförderungsgesetzes in der Fassung der Bekanntmachung vom 2. Februar 1990 (BGBl. I S. 173), § 20 des Berlinförderungsgesetzes, § 9 des Investitionszulagengesetzes 1996 in der Fassung der Bekanntmachung vom 22. Januar 1996 (BGBl. I S. 60), § 8 des Investitionszulagengesetzes 1999 in der Fassung der Bekanntmachung vom 11. Oktober 2002 (BGBl. I S. 4034), § 7 des Investitionszulagengesetzes 2005 in der Fassung der Bekanntmachung vom 30. September 2005 (BGBl. I S. 2961), § 14 des Investitionszulagengesetzes 2007 in der Fassung der Bekanntmachung vom 23. Februar 2007 (BGBl. I S. 282), § 15 des Investitionszulagengesetzes 2010 vom 7. Dezember 2008 (BGBl. I S. 2350), § 164 Satz 1 des Steuerberatungsgesetzes in der Fassung der Bekanntmachung vom 4. November 1975 (BGBl. I S. 2735), jeweils in der jeweils geltenden Fassung und</w:t>
      </w:r>
    </w:p>
    <w:p>
      <w:r>
        <w:t xml:space="preserve">6. § 409 Satz 2 der Abgabenordnung in Verbindung mit § 14 Absatz 3 Satz 2 des Fünften Vermögensbildungsgesetzes, § 8 Absatz 2 Satz 2 des Wohnungsbau-Prämiengesetzes, § 17 Satz 1 des Spielbankgesetzes NRW, § 29a Absatz 2 des Berlinförderungsgesetzes, § 131 Absatz 3 des Gesetzes über Ordnungswidrigkeiten in der Fassung der Bekanntmachung vom 19. Februar 1987 (BGBl. I S. 602), jeweils in der jeweils geltenden Fassung,</w:t>
      </w:r>
    </w:p>
    <w:p>
      <w:r>
        <w:t xml:space="preserve">werden auf das für Finanzen zuständige Ministerium übertragen. Die Einrichtung von Landesfamilienkassen durch Rechtsverordnung erfolgt im Benehmen mit den zuständigen Fachressorts.</w:t>
      </w:r>
    </w:p>
    <w:p>
      <w:r>
        <w:rPr>
          <w:color w:val="555555"/>
          <w:sz w:val="17"/>
        </w:rPr>
        <w:t xml:space="preserve">Zitiervorschlag: § 1 NW_32113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