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NW_32110 (Nordrhein-Westfalen) — Umlagen</w:t>
      </w:r>
    </w:p>
    <w:p>
      <w:r>
        <w:rPr>
          <w:color w:val="555555"/>
          <w:sz w:val="18"/>
        </w:rPr>
        <w:t xml:space="preserve">Nachtragssatzung zur Haushaltssatzung des Landschaftsverbandes Rheinland für das Haushaltsjahr 2017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gemäß § 22 der Landschaftsverbandsordnung für das Land Nordrhein-Westfalen zu erhebende Umlage wird für 2017 von 16,15 % um 0,75 Prozentpunkte auf 15,40 %, entsprechend der für das Haushaltsjahr 2017 geltenden Bemessungsgrundlagen, festgesetzt. Die Umlagesenkung wird durch gesonderten Bescheid umgesetzt.</w:t>
      </w:r>
    </w:p>
    <w:p>
      <w:r>
        <w:rPr>
          <w:color w:val="555555"/>
          <w:sz w:val="17"/>
        </w:rPr>
        <w:t xml:space="preserve">Zitiervorschlag: § 6 NW_32110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https://recht.nulegal.eu/gesetze/NW_32110/6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