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NW_32091 (Nordrhein-Westfalen) — Inkrafttreten, Außerkrafttreten</w:t>
      </w:r>
    </w:p>
    <w:p>
      <w:r>
        <w:rPr>
          <w:color w:val="555555"/>
          <w:sz w:val="18"/>
        </w:rPr>
        <w:t xml:space="preserve">Gesetz zur Überleitung der vorhandenen Konrektorinnen und Konrektoren von Grundschulen und Hauptschulen in die Besoldungsgruppe A 13 mit Amtszulage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mit Wirkung vom 1. Januar 2018 in Kraft und am 31. Dezember 2027 außer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Für den Minister der Finanzen</w:t>
      </w:r>
    </w:p>
    <w:p>
      <w:r>
        <w:t xml:space="preserve">der Minister für Wirtschaft, Innovation, Digitalisierung und Energie</w:t>
      </w:r>
    </w:p>
    <w:p>
      <w:r>
        <w:t xml:space="preserve">Die Ministerin für Schule und Bildung</w:t>
      </w:r>
    </w:p>
    <w:p>
      <w:r>
        <w:rPr>
          <w:color w:val="555555"/>
          <w:sz w:val="17"/>
        </w:rPr>
        <w:t xml:space="preserve">Zitiervorschlag: § 2 NW_32091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https://recht.nulegal.eu/gesetze/NW_32091/2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