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NW_31902 (Nordrhein-Westfalen) — Inkrafttreten</w:t>
      </w:r>
    </w:p>
    <w:p>
      <w:r>
        <w:rPr>
          <w:color w:val="555555"/>
          <w:sz w:val="18"/>
        </w:rPr>
        <w:t xml:space="preserve">HebBO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Gleichzeitig tritt die Berufsordnung für Hebammen und Entbindungspfleger vom 12. Februar 2015 (GV. NRW. S. 230) außer Kraft.</w:t>
      </w:r>
    </w:p>
    <w:p>
      <w:r>
        <w:t xml:space="preserve">Die Ministerin</w:t>
      </w:r>
    </w:p>
    <w:p>
      <w:r>
        <w:t xml:space="preserve">für Gesundheit, Emanzipation, Pflege und Alter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10 NW_31902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https://recht.nulegal.eu/gesetze/NW_31902/10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