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NW_31845 (Nordrhein-Westfalen) — Umlagen</w:t>
      </w:r>
    </w:p>
    <w:p>
      <w:r>
        <w:rPr>
          <w:color w:val="555555"/>
          <w:sz w:val="18"/>
        </w:rPr>
        <w:t xml:space="preserve">Haushaltssatzung des Landschaftverbandes Rheinland für die Haushaltsjahre 2017 / 2018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gemäß § 22 der Landschaftsverbandsordnung für das Land Nordrhein-Westfalen zu erhebende Umlage wird 2017 auf 16,15 % und 2018 auf 16,20 % der für das jeweilige Haushaltsjahr geltenden Bemessungsgrundlagen festgesetzt. Die Umlage wird durch gesonderten Bescheid erhoben.</w:t>
      </w:r>
    </w:p>
    <w:p>
      <w:r>
        <w:rPr>
          <w:color w:val="555555"/>
          <w:sz w:val="17"/>
        </w:rPr>
        <w:t xml:space="preserve">Zitiervorschlag: § 6 NW_31845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https://recht.nulegal.eu/gesetze/NW_31845/6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