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NW_31845 (Nordrhein-Westfalen) — Kredite zur Liquiditätssicherung</w:t>
      </w:r>
    </w:p>
    <w:p>
      <w:r>
        <w:rPr>
          <w:color w:val="555555"/>
          <w:sz w:val="18"/>
        </w:rPr>
        <w:t xml:space="preserve">Haushaltssatzung des Landschaftverbandes Rheinland für die Haushaltsjahre 2017 / 2018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Höchstbetrag der Kredite, die zur Liquiditätssicherung in Anspruch genommen werden dürfen, wird auf folgende Summen festgesetzt:</w:t>
      </w:r>
    </w:p>
    <w:p>
      <w:r>
        <w:t xml:space="preserve">500.000.000 EUR</w:t>
      </w:r>
    </w:p>
    <w:p>
      <w:r>
        <w:t xml:space="preserve">500.000.000 EUR</w:t>
      </w:r>
    </w:p>
    <w:p>
      <w:r>
        <w:rPr>
          <w:color w:val="555555"/>
          <w:sz w:val="17"/>
        </w:rPr>
        <w:t xml:space="preserve">Zitiervorschlag: § 5 NW_31845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https://recht.nulegal.eu/gesetze/NW_31845/5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