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NW_31845 (Nordrhein-Westfalen) — Ausgleichsrücklage und Allgemeine Rücklage</w:t>
      </w:r>
    </w:p>
    <w:p>
      <w:r>
        <w:rPr>
          <w:color w:val="555555"/>
          <w:sz w:val="18"/>
        </w:rPr>
        <w:t xml:space="preserve">Haushaltssatzung des Landschaftverbandes Rheinland für die Haushaltsjahre 2017 / 2018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Verringerung der Ausgleichsrücklage zum Ausgleich des Ergebnisplans wird auf folgende Summen festgesetzt:</w:t>
      </w:r>
    </w:p>
    <w:p>
      <w:r>
        <w:t xml:space="preserve">13.751.621 EUR</w:t>
      </w:r>
    </w:p>
    <w:p>
      <w:r>
        <w:t xml:space="preserve">17.972.827 EUR</w:t>
      </w:r>
    </w:p>
    <w:p>
      <w:r>
        <w:rPr>
          <w:color w:val="555555"/>
          <w:sz w:val="17"/>
        </w:rPr>
        <w:t xml:space="preserve">Zitiervorschlag: § 4 NW_31845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https://recht.nulegal.eu/gesetze/NW_31845/4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