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NW_31845 (Nordrhein-Westfalen) — Verpflichtungsermächtigungen</w:t>
      </w:r>
    </w:p>
    <w:p>
      <w:r>
        <w:rPr>
          <w:color w:val="555555"/>
          <w:sz w:val="18"/>
        </w:rPr>
        <w:t xml:space="preserve">Haushaltssatzung des Landschaftverbandes Rheinland für die Haushaltsjahre 2017 / 2018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Gesamtbetrag der Verpflichtungsermächtigungen, der zur Leistung von Investitionsauszahlungen in künftigen Jahren erforderlich ist, wird auf folgende Summen festgesetzt:</w:t>
      </w:r>
    </w:p>
    <w:p>
      <w:r>
        <w:t xml:space="preserve">174.623.176,00 EUR</w:t>
      </w:r>
    </w:p>
    <w:p>
      <w:r>
        <w:t xml:space="preserve">14.572.291,00 EUR</w:t>
      </w:r>
    </w:p>
    <w:p>
      <w:r>
        <w:rPr>
          <w:color w:val="555555"/>
          <w:sz w:val="17"/>
        </w:rPr>
        <w:t xml:space="preserve">Zitiervorschlag: § 3 NW_31845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https://recht.nulegal.eu/gesetze/NW_31845/3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