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NW_31810 (Nordrhein-Westfalen) — Inkrafttreten, Evaluierung</w:t>
      </w:r>
    </w:p>
    <w:p>
      <w:r>
        <w:rPr>
          <w:color w:val="555555"/>
          <w:sz w:val="18"/>
        </w:rPr>
        <w:t xml:space="preserve">Verordnung zur Bestimmung der lebens- oder verteidigungswichtigen Einrichtungen im Geschäftsbereich des für Inneres zuständigen Ministeriums des Landes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 Das für Inneres zuständige Ministerium überprüft die Auswirkungen dieser Verordnung bis zum 31. Dezember 2025.</w:t>
      </w:r>
    </w:p>
    <w:p>
      <w:r>
        <w:t xml:space="preserve">Der Minister</w:t>
      </w:r>
    </w:p>
    <w:p>
      <w:r>
        <w:t xml:space="preserve">für Inneres und Kommunales</w:t>
      </w:r>
    </w:p>
    <w:p>
      <w:r>
        <w:t xml:space="preserve">des Landes Nordrhein-Westfalen</w:t>
      </w:r>
    </w:p>
    <w:p>
      <w:r>
        <w:rPr>
          <w:color w:val="555555"/>
          <w:sz w:val="17"/>
        </w:rPr>
        <w:t xml:space="preserve">Zitiervorschlag: § 2 NW_31810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https://recht.nulegal.eu/gesetze/NW_31810/2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