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NW_31809 (Nordrhein-Westfalen) — Nicht betroffene Tätigkeiten, zulässige Handlungen</w:t>
      </w:r>
    </w:p>
    <w:p>
      <w:r>
        <w:rPr>
          <w:color w:val="555555"/>
          <w:sz w:val="18"/>
        </w:rPr>
        <w:t xml:space="preserve">NNM-VO Bruchhauser Steine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Unberührt von den Verboten des § 5 bleiben</w:t>
      </w:r>
    </w:p>
    <w:p>
      <w:r>
        <w:t xml:space="preserve">1. von der unteren Naturschutzbehörde angeordnete oder mit ihr abgestimmte Pflege- und Entwicklungsmaßnahmen sowie von dieser angeordnete oder mit dieser abgestimmte wissenschaftliche Untersuchungen,</w:t>
      </w:r>
    </w:p>
    <w:p>
      <w:r>
        <w:t xml:space="preserve">2. die Besteigung des Feldsteins mittels der vorhandenen Aufstiegshilfe zur Erlebbarkeit der Bruchhauser Steine und ihres Panoramas,</w:t>
      </w:r>
    </w:p>
    <w:p>
      <w:r>
        <w:t xml:space="preserve">3. auf das Notwendige beschränkte Maßnahmen der Verkehrssicherung, diese sind vor ihrer Realisierung mit der unteren Naturschutzbehörde und dem für das Bodendenkmal zuständigen Fachamt frühzeitig abzustimmen und</w:t>
      </w:r>
    </w:p>
    <w:p>
      <w:r>
        <w:t xml:space="preserve">4. unaufschiebbare Maßnahmen der Abwehr einer unmittelbar drohenden gegenwärtigen Gefahr, die Maßnahmen sind der zuständigen unteren Naturschutzbehörde und dem für das Bodendenkmal zuständigen Fachamt nach Durchführung unverzüglich anzuzeigen.</w:t>
      </w:r>
    </w:p>
    <w:p>
      <w:r>
        <w:rPr>
          <w:color w:val="555555"/>
          <w:sz w:val="17"/>
        </w:rPr>
        <w:t xml:space="preserve">Zitiervorschlag: § 6 NW_31809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https://recht.nulegal.eu/gesetze/NW_31809/6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