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NW_31809 (Nordrhein-Westfalen) — Pflege- und Entwicklungsziele</w:t>
      </w:r>
    </w:p>
    <w:p>
      <w:r>
        <w:rPr>
          <w:color w:val="555555"/>
          <w:sz w:val="18"/>
        </w:rPr>
        <w:t xml:space="preserve">NNM-VO Bruchhauser Steine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Nationalen Naturmonument sind</w:t>
      </w:r>
    </w:p>
    <w:p>
      <w:r>
        <w:t xml:space="preserve">1. alle Maßnahmen so durchzuführen, dass die Silikatfelsen erhalten werden und ihr Erlebniswert sowie ihr Erscheinungsbild gesichert werden,</w:t>
      </w:r>
    </w:p>
    <w:p>
      <w:r>
        <w:t xml:space="preserve">2. die Silikatfelsen so zu pflegen und zu entwickeln, dass ihre Funktion als Lebensraum für bedrohte und seltene Tier- und Pflanzen-, insbesondere Kryptogamenarten (Moose und Flechten), gewahrt bleibt,</w:t>
      </w:r>
    </w:p>
    <w:p>
      <w:r>
        <w:t xml:space="preserve">3. die Eigenart, Schönheit und Seltenheit des natürlich-kulturellen Ensembles aus Felsformation und Befestigungsanlagen in seiner historisch gewachsenen Gestalt für nachfolgende Generationen zu bewahren und</w:t>
      </w:r>
    </w:p>
    <w:p>
      <w:r>
        <w:t xml:space="preserve">4. in diesem Rahmen die Umwelt- sowie die Geschichtsbildung und die Erlebbarkeit des Gebietes zu gewährleisten, soweit sie mit den in § 3 Absatz 2 bis 4 formulierten Schutz- und Erhaltungszielen verträglich sind.</w:t>
      </w:r>
    </w:p>
    <w:p>
      <w:r>
        <w:t xml:space="preserve">(2) Für das Nationale Naturmonument ist innerhalb von drei Jahren nach Inkrafttreten dieser Verordnung von der unteren Naturschutzbehörde ein Pflege- und Entwicklungsplan unter Einbeziehung der Grundeigentümer und der für das Bodendenkmal zuständigen Behörden aufzustellen, in dem alle notwendigen Schutz-, Pflege- und Entwicklungsmaßnahmen festgelegt werden.</w:t>
      </w:r>
    </w:p>
    <w:p>
      <w:r>
        <w:rPr>
          <w:color w:val="555555"/>
          <w:sz w:val="17"/>
        </w:rPr>
        <w:t xml:space="preserve">Zitiervorschlag: § 4 NW_31809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https://recht.nulegal.eu/gesetze/NW_31809/4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