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NW_31809 (Nordrhein-Westfalen) — Inkrafttreten</w:t>
      </w:r>
    </w:p>
    <w:p>
      <w:r>
        <w:rPr>
          <w:color w:val="555555"/>
          <w:sz w:val="18"/>
        </w:rPr>
        <w:t xml:space="preserve">NNM-VO Bruchhauser Steine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Der Minister</w:t>
      </w:r>
    </w:p>
    <w:p>
      <w:r>
        <w:t xml:space="preserve">für Klimaschutz, Umwelt, Landwirtschaft,</w:t>
      </w:r>
    </w:p>
    <w:p>
      <w:r>
        <w:t xml:space="preserve">Natur-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10 NW_31809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https://recht.nulegal.eu/gesetze/NW_31809/10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