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NW_31809 (Nordrhein-Westfalen) — Erklärung zum Nationalen Naturmonument</w:t>
      </w:r>
    </w:p>
    <w:p>
      <w:r>
        <w:rPr>
          <w:color w:val="555555"/>
          <w:sz w:val="18"/>
        </w:rPr>
        <w:t xml:space="preserve">NNM-VO Bruchhauser Steine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nordöstlich von Bruchhausen auf dem Gebiet der Stadt Olsberg im Hochsauerlandkreis gelegene Landschaftsausschnitt mit herausragenden und das Landschaftsbild prägenden Silikatfelsen und kulturhistorischen Anlagen innerhalb eines Waldkomplexes wird in den in § 2 Absatz 2 bezeichneten Grenzen zum Nationalen Naturmonument mit der Bezeichnung „Nationales Naturmonument Bruchhauser Steine“ erklärt.</w:t>
      </w:r>
    </w:p>
    <w:p>
      <w:r>
        <w:rPr>
          <w:color w:val="555555"/>
          <w:sz w:val="17"/>
        </w:rPr>
        <w:t xml:space="preserve">Zitiervorschlag: § 1 NW_31809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