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NW_31802 (Nordrhein-Westfalen) — Inkrafttreten, Außerkrafttreten</w:t>
      </w:r>
    </w:p>
    <w:p>
      <w:r>
        <w:rPr>
          <w:color w:val="555555"/>
          <w:sz w:val="18"/>
        </w:rPr>
        <w:t xml:space="preserve">LVOFeu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Tag nach der Verkündung in Kraft.</w:t>
      </w:r>
    </w:p>
    <w:p>
      <w:r>
        <w:t xml:space="preserve">(2) Gleichzeitig tritt die Verordnung über die Laufbahnen der Beamtinnen und Beamten des feuerwehrtechnischen Dienstes im Lande Nordrhein-Westfalen vom 6. Mai 2014 (GV. NRW. S. 278), die durch Verordnung vom 10. März 2016 (GV. NRW. S. 180) geändert worden ist, außer Kraft.</w:t>
      </w:r>
    </w:p>
    <w:p>
      <w:r>
        <w:t xml:space="preserve">Der Minister</w:t>
      </w:r>
    </w:p>
    <w:p>
      <w:r>
        <w:t xml:space="preserve">für Inneres und Kommunales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23 NW_31802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https://recht.nulegal.eu/gesetze/NW_31802/23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