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NW_31783 (Nordrhein-Westfalen) — Rücknahme und Nichtigkeit der Berufung in das DO-Verhältnis</w:t>
      </w:r>
    </w:p>
    <w:p>
      <w:r>
        <w:rPr>
          <w:color w:val="555555"/>
          <w:sz w:val="18"/>
        </w:rPr>
        <w:t xml:space="preserve">Dienstordnung für die Dienstordnungs-Angestellten der Unfallkasse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Liegen Tatbestände vor, die bei einer Beamtin oder einem Beamten des Landes Nordrhein-Westfalen zur Rücknahme oder Nichtigkeit der Ernennung führen würden, gelten für die DO-Angestellten die §§ 11 und 12 des Beamtenstatusgesetzes vom 17. Juni 2008 (BGBl. I S. 1010), das durch Artikel 15 Absatz 16 des Gesetzes vom 5. Februar 2009 (BGBl. I S. 160) geändert worden ist, und § 17 des Landesbeamtengesetzes vom 14. Juni 2016 (GV. NRW. S. 310, ber. S. 642) in der jeweils geltenden Fassung entsprechend.</w:t>
      </w:r>
    </w:p>
    <w:p>
      <w:r>
        <w:rPr>
          <w:color w:val="555555"/>
          <w:sz w:val="17"/>
        </w:rPr>
        <w:t xml:space="preserve">Zitiervorschlag: § 8 NW_31783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https://recht.nulegal.eu/gesetze/NW_31783/8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