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NW_31783 (Nordrhein-Westfalen) — Anwendung des Beamtenrechts</w:t>
      </w:r>
    </w:p>
    <w:p>
      <w:r>
        <w:rPr>
          <w:color w:val="555555"/>
          <w:sz w:val="18"/>
        </w:rPr>
        <w:t xml:space="preserve">Dienstordnung für die Dienstordnungs-Angestellten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nicht durch besondere gesetzliche Vorschriften oder in dieser Dienstordnung etwas anderes bestimmt ist, gelten für die Rechtsverhältnisse der DO-Angestellten die jeweiligen für Beamtinnen und Beamte geltenden Gesetze und Verordnungen des Landes Nordrhein-Westfalen, insbesondere über</w:t>
      </w:r>
    </w:p>
    <w:p>
      <w:r>
        <w:t xml:space="preserve">1. die Pflichten und</w:t>
      </w:r>
    </w:p>
    <w:p>
      <w:r>
        <w:t xml:space="preserve">2. die Rechte der Beamtinnen und Beamten entsprechend.</w:t>
      </w:r>
    </w:p>
    <w:p>
      <w:r>
        <w:t xml:space="preserve">(2) Als ruhegehaltfähige Dienstzeit im Sinne des Beamtenrechts gilt auch die zurückgelegte Dienstzeit bei einem Verband oder einer Vereinigung von gesetzlichen Sozialversicherungsträgern, die nicht die Eigenschaft eines öffentlich-rechtlichen Dienstherrn haben und bei Betriebskrankenkassen.</w:t>
      </w:r>
    </w:p>
    <w:p>
      <w:r>
        <w:t xml:space="preserve">(3) Soweit in beamtenrechtlichen Vorschriften, auf die diese Dienstordnung verweist, die Zuständigkeit für dienstrechtliche Entscheidungen besonders geregelt ist, tritt an die Stelle der dort genannten Behörden der Vorstand.</w:t>
      </w:r>
    </w:p>
    <w:p>
      <w:r>
        <w:rPr>
          <w:color w:val="555555"/>
          <w:sz w:val="17"/>
        </w:rPr>
        <w:t xml:space="preserve">Zitiervorschlag: § 3 NW_31783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https://recht.nulegal.eu/gesetze/NW_31783/3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