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NW_31783 (Nordrhein-Westfalen) — Voraussetzungen und Form der Anstellung</w:t>
      </w:r>
    </w:p>
    <w:p>
      <w:r>
        <w:rPr>
          <w:color w:val="555555"/>
          <w:sz w:val="18"/>
        </w:rPr>
        <w:t xml:space="preserve">Dienstordnung für die Dienstordnungs-Angestellten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dieser Dienstordnung darf nur angestellt werden, wer</w:t>
      </w:r>
    </w:p>
    <w:p>
      <w:r>
        <w:t xml:space="preserve">1. Deutsche oder Deutscher im Sinne des Artikels 116 des Grundgesetzes für die Bundesrepublik Deutschland ist oder die Staatsangehörigkeit</w:t>
      </w:r>
    </w:p>
    <w:p>
      <w:r>
        <w:t xml:space="preserve">a) eines anderen Mitgliedstaates der Europäischen Union oder</w:t>
      </w:r>
    </w:p>
    <w:p>
      <w:r>
        <w:t xml:space="preserve">b) eines anderen Vertragsstaates des Abkommens über den Europäischen Wirtschaftsraum oder</w:t>
      </w:r>
    </w:p>
    <w:p>
      <w:r>
        <w:t xml:space="preserve">c) eines Drittstaates, dem Deutschland und die Europäische Union vertraglich einen entsprechenden Anspruch auf Anerkennung von Berufsqualifikationen eingeräumt haben, besitzt,</w:t>
      </w:r>
    </w:p>
    <w:p>
      <w:r>
        <w:t xml:space="preserve">2. die Gewähr dafür bietet, jederzeit für die freiheitliche demokratische Grundordnung im Sinne des Grundgesetzes einzutreten,</w:t>
      </w:r>
    </w:p>
    <w:p>
      <w:r>
        <w:t xml:space="preserve">3. in fachlicher Beziehung den Befähigungsnachweis erbracht hat, soweit dieser in den unter Berücksichtigung der für die Beamtinnen und Beamte des Landes Nordrhein-Westfalen geltenden Vorschriften aufgestellten Laufbahnrichtlinien für den Dienst bei der Unfallkasse Nordrhein-Westfalen gefordert wird,</w:t>
      </w:r>
    </w:p>
    <w:p>
      <w:r>
        <w:t xml:space="preserve">4. sich in einer Probezeit in vollem Umfang bewährt hat und</w:t>
      </w:r>
    </w:p>
    <w:p>
      <w:r>
        <w:t xml:space="preserve">5. nach dem Gutachten einer Amtsärztin/eines Amtsarztes oder einer von der Unfallkasse Nordrhein-Westfalen beauftragten Ärztin/eines von der Unfallkasse Nordrhein-Westfalen beauftragten Arztes dienstfähig ist.</w:t>
      </w:r>
    </w:p>
    <w:p>
      <w:r>
        <w:t xml:space="preserve">(2) Wenn die Aufgaben es erfordern, darf nur eine Deutsche oder ein Deutscher im Sinne des Artikels 116 des Grundgesetzes für die Bundesrepublik Deutschland nach der Dienstordnung angestellt werden.</w:t>
      </w:r>
    </w:p>
    <w:p>
      <w:r>
        <w:t xml:space="preserve">(3) Der Vorstand kann nur Ausnahmen nach Absatz 1 Nummer 1 und Absatz 2 zulassen, wenn für die Gewinnung der/des DO-Angestellten ein dringendes dienstliches Interesse besteht.</w:t>
      </w:r>
    </w:p>
    <w:p>
      <w:r>
        <w:t xml:space="preserve">(4) Die Anstellung erfolgt im Hauptberuf auf Lebenszeit.</w:t>
      </w:r>
    </w:p>
    <w:p>
      <w:r>
        <w:t xml:space="preserve">(5) Voraussetzung für die Anstellung nach den Absätzen 1 bis 4 ist ferner, dass eine besetzbare Planstelle im Stellenplan vorhanden ist.</w:t>
      </w:r>
    </w:p>
    <w:p>
      <w:r>
        <w:t xml:space="preserve">(6) Die Anstellung ist durch schriftlichen Vertrag zu bewirken, in dem auf die Dienstordnung Bezug genommen und ferner angegeben werden muss:</w:t>
      </w:r>
    </w:p>
    <w:p>
      <w:r>
        <w:t xml:space="preserve">1. der Name und die Anschrift der Vertragsparteien,</w:t>
      </w:r>
    </w:p>
    <w:p>
      <w:r>
        <w:t xml:space="preserve">2. der Tag der Anstellung,</w:t>
      </w:r>
    </w:p>
    <w:p>
      <w:r>
        <w:t xml:space="preserve">3. die Dienstbezeichnung,</w:t>
      </w:r>
    </w:p>
    <w:p>
      <w:r>
        <w:t xml:space="preserve">4. die Besoldungsgruppe und</w:t>
      </w:r>
    </w:p>
    <w:p>
      <w:r>
        <w:t xml:space="preserve">5. die für die Einstellung festgesetzte Stufe.</w:t>
      </w:r>
    </w:p>
    <w:p>
      <w:r>
        <w:t xml:space="preserve">Änderungen und Ergänzungen des Vertrages bedürfen der Schriftform.</w:t>
      </w:r>
    </w:p>
    <w:p>
      <w:r>
        <w:t xml:space="preserve">(7) DO-Angestellte erhalten ein Exemplar des Dienstvertrages und der Dienstordnung sowie ihrer Änderungen gegen Empfangsbestätigung ausgehändigt.</w:t>
      </w:r>
    </w:p>
    <w:p>
      <w:r>
        <w:rPr>
          <w:color w:val="555555"/>
          <w:sz w:val="17"/>
        </w:rPr>
        <w:t xml:space="preserve">Zitiervorschlag: § 2 NW_31783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https://recht.nulegal.eu/gesetze/NW_31783/2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