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NW_31782 (Nordrhein-Westfalen) — Laufbahnwechsel, Aufstieg und berufliche Entwicklung</w:t>
      </w:r>
    </w:p>
    <w:p>
      <w:r>
        <w:rPr>
          <w:color w:val="555555"/>
          <w:sz w:val="18"/>
        </w:rPr>
        <w:t xml:space="preserve">Laufbahnrichtlinien für die Dienstordnungs-Angestellten der Unfallkasse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Wechsel in ein statusgleiches Amt einer anderen Laufbahn derselben Laufbahngruppe ist nur zulässig, wenn die/der DO-Angestellte die Befähigung für die neue Laufbahn besitzt oder eine als gleichwertig anerkannte Prüfung bestanden hat.</w:t>
      </w:r>
    </w:p>
    <w:p>
      <w:r>
        <w:t xml:space="preserve">(2) Über Befähigung und Gleichwertigkeit der Prüfung nach Absatz 1 entscheidet der Vorstand.</w:t>
      </w:r>
    </w:p>
    <w:p>
      <w:r>
        <w:t xml:space="preserve">(3) Für den Aufstieg von der Laufbahngruppe 1 in die Laufbahngruppe 2 derselben Fachrichtung gilt § 15, für die berufliche Entwicklung innerhalb der Laubahngruppen 2 gelten die §§ 17 und 18.</w:t>
      </w:r>
    </w:p>
    <w:p>
      <w:r>
        <w:rPr>
          <w:color w:val="555555"/>
          <w:sz w:val="17"/>
        </w:rPr>
        <w:t xml:space="preserve">Zitiervorschlag: § 6 NW_31782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https://recht.nulegal.eu/gesetze/NW_31782/6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