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NW_31782 (Nordrhein-Westfalen) — Grundsatz</w:t>
      </w:r>
    </w:p>
    <w:p>
      <w:r>
        <w:rPr>
          <w:color w:val="555555"/>
          <w:sz w:val="18"/>
        </w:rPr>
        <w:t xml:space="preserve">Laufbahnrichtlinien für die Dienstordnungs-Angestellten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Laufbahnrechtliche Entscheidungen sind, soweit sie Einstellung, Anstellung, Beförderung und einen Aufstieg der DO-Angestellten betreffen, nur nach Eignung, Befähigung und fachlicher Leistung ohne Rücksicht auf Geschlecht, Abstammung, Rasse oder ethnische Herkunft, Behinderung, Religion oder Weltanschauung, politische Anschauung, Herkunft, Beziehungen oder sexuelle Identität zu treffen. § 14 Absatz 2, 1. Halbsatz, § 19 Absatz 6, Satz 1 bis 5 des Landesbeamtengesetzes vom 14. Juni 2016 (GV. NRW. S. 310, ber. S. 642) sowie § 7 Absatz 1 und 2, § 10 Absatz 1 und 2 des Landesgleichstellungsgesetzes vom 9. November 1999 (GV. NRW. S. 590), das zuletzt durch Artikel 3 des Gesetzes vom 16. September 2014 (GV. NRW. S. 547) geändert worden ist, sind zu beachten.</w:t>
      </w:r>
    </w:p>
    <w:p>
      <w:r>
        <w:t xml:space="preserve">(2) Eignung erfasst insbesondere Persönlichkeit und charakterliche Eigenschaften, die für die dienstliche Verwendung wesentlich sind.</w:t>
      </w:r>
    </w:p>
    <w:p>
      <w:r>
        <w:t xml:space="preserve">(3) Grundlagen für die Einschätzung können neben aktuellen dienstlichen Beurteilungen ergänzend auch Personalgespräche, strukturierte Interviews, Assessment-Center oder andere wissenschaftlich fundierte Auswahlmethoden sein. Ergänzende Auswahlmethoden kommen insbesondere dann in Betracht, wenn gemessen an den künftigen Aufgaben eine abschließende Entscheidung über Eignung, Leistung und Befähigung auf der Grundlage einer dienstlichen Beurteilung nicht möglich ist.</w:t>
      </w:r>
    </w:p>
    <w:p>
      <w:r>
        <w:t xml:space="preserve">(4) Bei der Beurteilung der Leistung schwerbehinderter und ihnen gleichgestellter behinderter Menschen ist die Minderung der Arbeits- und Einsatzfähigkeit durch die Behinderung zu berücksichtigen.</w:t>
      </w:r>
    </w:p>
    <w:p>
      <w:r>
        <w:rPr>
          <w:color w:val="555555"/>
          <w:sz w:val="17"/>
        </w:rPr>
        <w:t xml:space="preserve">Zitiervorschlag: § 2 NW_31782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https://recht.nulegal.eu/gesetze/NW_31782/2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