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NW_31777 (Nordrhein-Westfalen) — Datenführung</w:t>
      </w:r>
    </w:p>
    <w:p>
      <w:r>
        <w:rPr>
          <w:color w:val="555555"/>
          <w:sz w:val="18"/>
        </w:rPr>
        <w:t xml:space="preserve">VO ZKPS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Zentrale Kaufpreissammlung wird gemäß § 6 Absatz 2 von den Gutachterausschüssen geführt.</w:t>
      </w:r>
    </w:p>
    <w:p>
      <w:r>
        <w:t xml:space="preserve">(2) Der Datenkatalog gemäß § 7 Absatz 2 ist für die Führung der Zentralen Kaufpreissammlung verbindlich.</w:t>
      </w:r>
    </w:p>
    <w:p>
      <w:r>
        <w:t xml:space="preserve">(3) Die Zentrale Kaufpreissammlung wird wahlweise direkt, durch Vorhalten der Primärdaten in der zentralen Datenbank, oder indirekt, durch periodische Übermittlung gemäß Absatz 5 von Sekundärdaten aus einer lokal geführten Datenbank, geführt.</w:t>
      </w:r>
    </w:p>
    <w:p>
      <w:r>
        <w:t xml:space="preserve">(4) In der Zentralen Kaufpreissammlung werden mindestens die Pflichtinhalte laut Datenkatalog (Muss- und Soll-Felder) geführt. Muss-Felder sind zwingend zu belegen. Soll-Felder sind dann zu belegen, wenn die entsprechenden Daten beim jeweiligen Gutachterausschuss erfasst worden sind. Die Datenfelder, die im Datenkatalog nicht als Pflichtfelder definiert sind (Kann-Felder), werden in der Zentralen Kaufpreissammlung geführt, sofern dies zur rechtmäßigen Aufgabenerfüllung erforderlich ist und diese Daten in der zentralen Datenbank vorgehalten werden sollen.</w:t>
      </w:r>
    </w:p>
    <w:p>
      <w:r>
        <w:t xml:space="preserve">(5) Der Datenbestand der Zentralen Kaufpreissammlung ist aktuell zu halten. Bei direkter Führung der Zentralen Kaufpreissammlung gemäß Absatz 3 wird der Datenbestand mit jeder Einstellung oder Editierung von Daten aktualisiert. Sofern die Kaufpreissammlung indirekt gemäß Absatz 3 geführt wird, aktualisiert der Gutachterausschuss seinen Datenbestand in der Zentralen Kaufpreissammlung zum Ende eines jeden Quartals.</w:t>
      </w:r>
    </w:p>
    <w:p>
      <w:r>
        <w:rPr>
          <w:color w:val="555555"/>
          <w:sz w:val="17"/>
        </w:rPr>
        <w:t xml:space="preserve">Zitiervorschlag: § 8 NW_31777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