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92 NW_31721 (Nordrhein-Westfalen) — Anwendungsbereich</w:t>
      </w:r>
    </w:p>
    <w:p>
      <w:r>
        <w:rPr>
          <w:color w:val="555555"/>
          <w:sz w:val="18"/>
        </w:rPr>
        <w:t xml:space="preserve">Verordnung über Bau und Betrieb von Sonderbauten (Sonderbauverordnung – SBauVO)*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Vorschriften des Teils 4 regeln die besonderen Anforderungen und Erleichterungen im Sinne von § 50 Absatz 1 BauO NRW 2018 für den Bau und Betrieb von Hochhäusern gemäß § 50 Absatz 2 Nummer 1 BauO NRW 2018.</w:t>
      </w:r>
    </w:p>
    <w:p>
      <w:r>
        <w:rPr>
          <w:color w:val="555555"/>
          <w:sz w:val="17"/>
        </w:rPr>
        <w:t xml:space="preserve">Zitiervorschlag: § 92 NW_31721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https://recht.nulegal.eu/gesetze/NW_31721/92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