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NW_31721 (Nordrhein-Westfalen) — Tragende Wände, Stützen, Decken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Tragende Wände, Stützen und Decken müssen feuerbeständig sein. Dies gilt nicht für oberste Geschosse von Dachräumen, wenn sich dort keine Beherbergungsräume befinden. § 51 Absatz 4 bleibt unberührt.</w:t>
      </w:r>
    </w:p>
    <w:p>
      <w:r>
        <w:t xml:space="preserve">(2) Tragende Wände, Stützen und Decken brauchen nur feuerhemmend zu sein</w:t>
      </w:r>
    </w:p>
    <w:p>
      <w:r>
        <w:t xml:space="preserve">1. in Gebäuden mit nicht mehr als zwei oberirdischen Geschossen,</w:t>
      </w:r>
    </w:p>
    <w:p>
      <w:r>
        <w:t xml:space="preserve">2. in obersten Geschossen von Dachräumen mit Beherbergungsräumen und</w:t>
      </w:r>
    </w:p>
    <w:p>
      <w:r>
        <w:t xml:space="preserve">3. in Gebäuden mit nicht mehr als drei oberirdischen Geschossen und mit nicht mehr als 30 Gastbetten.</w:t>
      </w:r>
    </w:p>
    <w:p>
      <w:r>
        <w:rPr>
          <w:color w:val="555555"/>
          <w:sz w:val="17"/>
        </w:rPr>
        <w:t xml:space="preserve">Zitiervorschlag: § 50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https://recht.nulegal.eu/gesetze/NW_31721/50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