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NW_31721 (Nordrhein-Westfalen) — Rettungswege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Beherbergungsraum müssen mindestens zwei voneinander unabhängige Rettungswege vorhanden sein. Sie dürfen jedoch innerhalb eines Geschosses über denselben notwendigen Flur führen. Der erste Rettungsweg muss für Beherbergungsräume, die nicht zu ebener Erde liegen, über eine notwendige Treppe führen, der zweite Rettungsweg über eine weitere notwendige Treppe oder eine Außentreppe. In Beherbergungsstätten mit insgesamt nicht mehr als 60 Gastbetten genügt als zweiter Rettungsweg eine mit Rettungsgeräten der Feuerwehr erreichbare Stelle des Beherbergungsraumes. Dies gilt nicht, wenn in einem nicht zu ebener Erde liegenden Geschoss mehr als 30 Gastbetten vorhanden sind.</w:t>
      </w:r>
    </w:p>
    <w:p>
      <w:r>
        <w:t xml:space="preserve">(2) An Abzweigungen notwendiger Flure, an den Zugängen zu notwendigen Treppenräumen und an den Ausgängen ins Freie ist durch Sicherheitszeichen auf die Ausgänge hinzuweisen. Die Sicherheitszeichen müssen beleuchtet sein.</w:t>
      </w:r>
    </w:p>
    <w:p>
      <w:r>
        <w:rPr>
          <w:color w:val="555555"/>
          <w:sz w:val="17"/>
        </w:rPr>
        <w:t xml:space="preserve">Zitiervorschlag: § 49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