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NW_31721 (Nordrhein-Westfalen) — Anwendung der Vorschriften auf bestehende Versammlungsstätten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zum Zeitpunkt des Inkrafttretens der Verordnung bestehenden Versammlungsstätten mit mehr als 5 000 Besucherplätzen sind innerhalb von zwei Jahren folgenden Vorschriften anzupassen:</w:t>
      </w:r>
    </w:p>
    <w:p>
      <w:r>
        <w:t xml:space="preserve">1. Kennzeichnung der Ausgänge und Rettungswege (§ 6 Absatz 6),</w:t>
      </w:r>
    </w:p>
    <w:p>
      <w:r>
        <w:t xml:space="preserve">2. Sitzplätze (§ 10 Absatz 2 und § 33 Absatz 2),</w:t>
      </w:r>
    </w:p>
    <w:p>
      <w:r>
        <w:t xml:space="preserve">3. Lautsprecheranlage (§ 20 Absatz 2 und § 26 Absatz 1),</w:t>
      </w:r>
    </w:p>
    <w:p>
      <w:r>
        <w:t xml:space="preserve">4. Einsatzzentrale für die Polizei (§ 26 Absatz 2),</w:t>
      </w:r>
    </w:p>
    <w:p>
      <w:r>
        <w:t xml:space="preserve">5. Abschrankung von Besucherbereichen (§ 27 Absatz 1 und 2),</w:t>
      </w:r>
    </w:p>
    <w:p>
      <w:r>
        <w:t xml:space="preserve">6. Wellenbrecher (§ 28) und</w:t>
      </w:r>
    </w:p>
    <w:p>
      <w:r>
        <w:t xml:space="preserve">7. Abschrankung von Stehplätzen vor Szenenflächen (§ 29).</w:t>
      </w:r>
    </w:p>
    <w:p>
      <w:r>
        <w:t xml:space="preserve">(2) Auf die zum Zeitpunkt des Inkrafttretens der Verordnung bestehenden Versammlungsstätten sind die Betriebsvorschriften des Kapitels 4 sowie § 3 Absatz 6 und 7, § 9 Absatz 3 Satz 2, § 10 Absatz 1 und 7, § 11 Absatz 1, 2, 5 und 6, § 14 Absatz 3, § 19 Absatz 7 und § 46 entsprechend anzuwenden. Die betrieblichen und organisatorischen Brandschutzmaßnahmen nach § 42 Absatz 1 und 2 sind innerhalb von zwei Jahren umzusetzen.</w:t>
      </w:r>
    </w:p>
    <w:p>
      <w:r>
        <w:rPr>
          <w:color w:val="555555"/>
          <w:sz w:val="17"/>
        </w:rPr>
        <w:t xml:space="preserve">Zitiervorschlag: § 45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https://recht.nulegal.eu/gesetze/NW_31721/45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