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NW_31721 (Nordrhein-Westfalen) — Brandsicherheitswache, Rettungsdienst und Sanitätswachdienst</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Veranstaltungen mit erhöhten Brandgefahren hat die Betreiberin oder der Betreiber eine Brandsicherheitswache einzurichten.</w:t>
      </w:r>
    </w:p>
    <w:p>
      <w:r>
        <w:t xml:space="preserve">(2) Bei jeder Veranstaltung auf Großbühnen sowie Szenenflächen mit mehr als 200 m² Grundfläche muss eine Brandsicherheitswache der Feuerwehr anwesend sein. Den Anweisungen der Brandsicherheitswache ist zu folgen. Eine Brandsicherheitswache der Feuerwehr ist nicht erforderlich, wenn die Brandschutzdienststelle der Betreiberin oder dem Betreiber bestätigt, dass sie oder er über eine ausreichende Zahl ausgebildeter Kräfte verfügt, die die Aufgaben der Brandsicherheitswache wahrnehmen.</w:t>
      </w:r>
    </w:p>
    <w:p>
      <w:r>
        <w:t xml:space="preserve">(3) Veranstaltungen mit voraussichtlich mehr als 5 000 Besucherinnen und Besuchern sind den für den Rettungsdienst und Sanitätswachdienst zuständigen Behörden rechtzeitig anzuzeigen.</w:t>
      </w:r>
    </w:p>
    <w:p>
      <w:r>
        <w:rPr>
          <w:color w:val="555555"/>
          <w:sz w:val="17"/>
        </w:rPr>
        <w:t xml:space="preserve">Zitiervorschlag: § 41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