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NW_31721 (Nordrhein-Westfalen) — Laseranlagen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den Betrieb von Laseranlagen in den für Besucherinnen und Besucher zugänglichen Bereichen sind die arbeitsschutzrechtlichen Vorschriften entsprechend anzuwenden.</w:t>
      </w:r>
    </w:p>
    <w:p>
      <w:r>
        <w:t xml:space="preserve">Abschnitt 4</w:t>
      </w:r>
    </w:p>
    <w:p>
      <w:r>
        <w:t xml:space="preserve">Verantwortliche Personen, besondere Betriebsvorschriften für Versammlungsstätten</w:t>
      </w:r>
    </w:p>
    <w:p>
      <w:r>
        <w:rPr>
          <w:color w:val="555555"/>
          <w:sz w:val="17"/>
        </w:rPr>
        <w:t xml:space="preserve">Zitiervorschlag: § 37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https://recht.nulegal.eu/gesetze/NW_31721/37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