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NW_31721 (Nordrhein-Westfalen) — Bühnenhaus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Versammlungsstätten mit Großbühnen sind alle für den Bühnenbetrieb notwendigen Räume und Einrichtungen in einem eigenen, von dem Zuschauerhaus getrennten Bühnenhaus unterzubringen.</w:t>
      </w:r>
    </w:p>
    <w:p>
      <w:r>
        <w:t xml:space="preserve">(2) Die Trennwand zwischen Bühnen- und Zuschauerhaus muss feuerbeständig und in der Bauart einer Brandwand hergestellt sein. Türen in dieser Trennwand müssen feuerbeständig und selbstschließend sein.</w:t>
      </w:r>
    </w:p>
    <w:p>
      <w:r>
        <w:rPr>
          <w:color w:val="555555"/>
          <w:sz w:val="17"/>
        </w:rPr>
        <w:t xml:space="preserve">Zitiervorschlag: § 22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