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142 NW_31721 (Nordrhein-Westfalen) — Anwendung der Vorschriften auf bestehende Garagen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die zum Zeitpunkt des Inkrafttretens der Verordnung bestehenden Garagen sind die Betriebsvorschriften (§ 139 Absatz 2 bis 6) anzuwenden.</w:t>
      </w:r>
    </w:p>
    <w:p>
      <w:r>
        <w:t xml:space="preserve">(2) Betreiberinnen oder Betreiber von bestehenden allgemein zugänglichen geschlossenen Großgaragen haben Frauenparkplätze (§ 122 Absatz 11) innerhalb einer Frist von sechs Monaten nach Inkrafttreten der Verordnung einzurichten.</w:t>
      </w:r>
    </w:p>
    <w:p>
      <w:r>
        <w:t xml:space="preserve">Teil 6</w:t>
      </w:r>
    </w:p>
    <w:p>
      <w:r>
        <w:t xml:space="preserve">Betriebsräume für elektrische Anlagen</w:t>
      </w:r>
    </w:p>
    <w:p>
      <w:r>
        <w:rPr>
          <w:color w:val="555555"/>
          <w:sz w:val="17"/>
        </w:rPr>
        <w:t xml:space="preserve">Zitiervorschlag: § 142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https://recht.nulegal.eu/gesetze/NW_31721/142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