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135 NW_31721 (Nordrhein-Westfalen) — Beleuchtung, Sicherheitsbeleuchtung, Gebäudefunkanlagen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Mittel- und Großgaragen muss eine allgemeine elektrische Beleuchtung vorhanden sein. Sie muss so beschaffen und mindestens in zwei Stufen derartig schaltbar sein, dass an allen Stellen der Nutzflächen und Rettungswege in der ersten Stufe eine Beleuchtungsstärke von mindestens 1 Lux und in der zweiten Stufe von mindestens 20 Lux erreicht wird.</w:t>
      </w:r>
    </w:p>
    <w:p>
      <w:r>
        <w:t xml:space="preserve">(2) In geschlossenen Großgaragen, ausgenommen eingeschossige Großgaragen mit festem Benutzerkreis, muss zur Beleuchtung der Rettungswege eine Sicherheitsbeleuchtung vorhanden sein.</w:t>
      </w:r>
    </w:p>
    <w:p>
      <w:r>
        <w:t xml:space="preserve">(3) Die Absätze 1 und 2 gelten nicht für automatische Garagen.</w:t>
      </w:r>
    </w:p>
    <w:p>
      <w:r>
        <w:t xml:space="preserve">(4) Wird die Funkkommunikation der Einsatzkräfte der Feuerwehr innerhalb der Garage durch die bauliche Anlage gestört, so ist die Garage mit technischen Anlagen zur Unterstützung des Funkverkehrs auszustatten. Satz 1 gilt nicht für Mittel- und Großgaragen mit nicht mehr als einem Untergeschoss und nicht mehr als 2 500 m² Nutzfläche.</w:t>
      </w:r>
    </w:p>
    <w:p>
      <w:r>
        <w:rPr>
          <w:color w:val="555555"/>
          <w:sz w:val="17"/>
        </w:rPr>
        <w:t xml:space="preserve">Zitiervorschlag: § 135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https://recht.nulegal.eu/gesetze/NW_31721/135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