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NW_31721 (Nordrhein-Westfalen) — Barrierefreie Stellplätze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Zahl der notwendigen barrierefreien Stellplätze muss mindestens der Hälfte der Zahl der nach §10 Absatz 7 erforderlichen Besucherplätze entsprechen. Auf diese Stellplätze ist dauerhaft und leicht erkennbar hinzuweisen.</w:t>
      </w:r>
    </w:p>
    <w:p>
      <w:r>
        <w:t xml:space="preserve">Abschnitt 4</w:t>
      </w:r>
    </w:p>
    <w:p>
      <w:r>
        <w:t xml:space="preserve">Technische Anlagen und Einrichtungen, besondere Räume von Versammlungsstätten</w:t>
      </w:r>
    </w:p>
    <w:p>
      <w:r>
        <w:rPr>
          <w:color w:val="555555"/>
          <w:sz w:val="17"/>
        </w:rPr>
        <w:t xml:space="preserve">Zitiervorschlag: § 13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