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129 NW_31721 (Nordrhein-Westfalen) — Trennwände, sonstige Innenwände und Tore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Trennwände zwischen Garagen und anders genutzten Räumen müssen die Feuerwiderstandsfähigkeit der tragenden und aussteifenden Bauteile des Geschosses haben, jedoch mindestens feuerhemmend sein. Wände zwischen Mittel- oder Großgaragen und anderen Gebäuden müssen feuerbeständig sein.</w:t>
      </w:r>
    </w:p>
    <w:p>
      <w:r>
        <w:t xml:space="preserve">(2) In Mittel- und Großgaragen müssen sonstige Innenwände und Tore, Einbauten, insbesondere Einrichtungen für mechanische Parksysteme, aus nichtbrennbaren Baustoffen bestehen.</w:t>
      </w:r>
    </w:p>
    <w:p>
      <w:r>
        <w:rPr>
          <w:color w:val="555555"/>
          <w:sz w:val="17"/>
        </w:rPr>
        <w:t xml:space="preserve">Zitiervorschlag: § 129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