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NW_31721 (Nordrhein-Westfalen) — Außenwände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Außenwände von Mittel- und Großgaragen müssen in allen ihren Teilen aus nichtbrennbaren Baustoffen bestehen. Satz 1 gilt nicht für</w:t>
      </w:r>
    </w:p>
    <w:p>
      <w:r>
        <w:t xml:space="preserve">1. Türen und Fenster,</w:t>
      </w:r>
    </w:p>
    <w:p>
      <w:r>
        <w:t xml:space="preserve">2. Fugendichtungen und</w:t>
      </w:r>
    </w:p>
    <w:p>
      <w:r>
        <w:t xml:space="preserve">3. brennbare Dämmstoffe in nichtbrennbaren geschlossenen, linien- oder stabförmigen Profilen oder Außenwandkonstruktionen.</w:t>
      </w:r>
    </w:p>
    <w:p>
      <w:r>
        <w:t xml:space="preserve">(2) Absatz 1 gilt nicht für Außenwände von eingeschossigen oberirdischen Mittel- und Großgaragen, wenn das Gebäude allein der Garagennutzung dient.</w:t>
      </w:r>
    </w:p>
    <w:p>
      <w:r>
        <w:rPr>
          <w:color w:val="555555"/>
          <w:sz w:val="17"/>
        </w:rPr>
        <w:t xml:space="preserve">Zitiervorschlag: § 128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