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 NW_31721 (Nordrhein-Westfalen) — Ordnungswidrigkeiten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nach § 86 Absatz 1 Nummer 20 BauO NRW 2018 handelt, wer vorsätzlich oder fahrlässig</w:t>
      </w:r>
    </w:p>
    <w:p>
      <w:r>
        <w:t xml:space="preserve">1. entgegen § 101 Absatz 1 Satz 2 und Absatz 3 Türen in Rettungswegen verschließt oder ohne Feststellanlage fest stellt,</w:t>
      </w:r>
    </w:p>
    <w:p>
      <w:r>
        <w:t xml:space="preserve">2. entgegen § 108 Absatz 1 die Sicherheitsbeleuchtung nicht ständig in Betrieb hält,</w:t>
      </w:r>
    </w:p>
    <w:p>
      <w:r>
        <w:t xml:space="preserve">3. entgegen § 116 Absatz 1 Rettungswege nicht freihält,</w:t>
      </w:r>
    </w:p>
    <w:p>
      <w:r>
        <w:t xml:space="preserve">4. entgegen § 116 Absatz 2 in Vorräumen und notwendigen Treppenräumen Gegenstände abstellt und</w:t>
      </w:r>
    </w:p>
    <w:p>
      <w:r>
        <w:t xml:space="preserve">5. entgegen § 118 Absatz 1 keine Brandschutzbeauftragte bestellt.</w:t>
      </w:r>
    </w:p>
    <w:p>
      <w:r>
        <w:t xml:space="preserve">Teil 5</w:t>
      </w:r>
    </w:p>
    <w:p>
      <w:r>
        <w:t xml:space="preserve">Garagen</w:t>
      </w:r>
    </w:p>
    <w:p>
      <w:r>
        <w:t xml:space="preserve">Kapitel 1</w:t>
      </w:r>
    </w:p>
    <w:p>
      <w:r>
        <w:t xml:space="preserve">Allgemeine Vorschriften für Garagen</w:t>
      </w:r>
    </w:p>
    <w:p>
      <w:r>
        <w:rPr>
          <w:color w:val="555555"/>
          <w:sz w:val="17"/>
        </w:rPr>
        <w:t xml:space="preserve">Zitiervorschlag: § 120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