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NW_31719 (Nordrhein-Westfalen) — Wahrnehmung von Mitgliedschaftsrechten</w:t>
      </w:r>
    </w:p>
    <w:p>
      <w:r>
        <w:rPr>
          <w:color w:val="555555"/>
          <w:sz w:val="18"/>
        </w:rPr>
        <w:t xml:space="preserve">Entschädigungssatzung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der Landschaftsversammlung und sachkundigen Bürgerinnen und Bürger erhalten Entschädigungen nach Maßgabe der Entschädigungssatzung, wenn sie durch Beschluss des Landschaftsausschusses Mitgliedschaftsrechte des Landschaftsverbandes Rheinland wahrnehmen. Für die Gewährung von Sitzungsgeld gilt § 2 Absatz 3 entsprechend.</w:t>
      </w:r>
    </w:p>
    <w:p>
      <w:r>
        <w:t xml:space="preserve">(2) Sie erhalten keine Entschädigung nach Maßgabe der Entschädigungssatzung, wenn ihnen Entschädigungen seitens Dritter bereits gezahlt werden.</w:t>
      </w:r>
    </w:p>
    <w:p>
      <w:r>
        <w:rPr>
          <w:color w:val="555555"/>
          <w:sz w:val="17"/>
        </w:rPr>
        <w:t xml:space="preserve">Zitiervorschlag: § 8 NW_31719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https://recht.nulegal.eu/gesetze/NW_31719/8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