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NW_31693 (Nordrhein-Westfalen)</w:t>
      </w:r>
    </w:p>
    <w:p>
      <w:r>
        <w:rPr>
          <w:color w:val="555555"/>
          <w:sz w:val="18"/>
        </w:rPr>
        <w:t xml:space="preserve">Satzung des Landschaftsverbandes Westfalen-Lippe über die Heranziehung der Städte, Kreise und kreisangehörigen Gemeinden zur Durchführung der Aufgaben des überörtlichen Trägers der Sozialhilfe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herangezogenen Gebietskörperschaften entscheiden in eigenem Namen.</w:t>
      </w:r>
    </w:p>
    <w:p>
      <w:r>
        <w:rPr>
          <w:color w:val="555555"/>
          <w:sz w:val="17"/>
        </w:rPr>
        <w:t xml:space="preserve">Zitiervorschlag: § 4 NW_31693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https://recht.nulegal.eu/gesetze/NW_31693/4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NW_31693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