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NW_31692 (Nordrhein-Westfalen) — Ersatzmaßnahmen</w:t>
      </w:r>
    </w:p>
    <w:p>
      <w:r>
        <w:rPr>
          <w:color w:val="555555"/>
          <w:sz w:val="18"/>
        </w:rPr>
        <w:t xml:space="preserve">Verordnung über die elektronische Aktenführung bei den ordentlichen Gerichten in Beschwerdeverfahren gemäß § 335a des Handelsgesetzbuches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Können elektronische Dokumente vorübergehend nicht entgegengenommen oder erzeugt werden, so sind die auf Grund dessen in Papierform eingereichten Schriftstücke oder sonstigen Unterlagen nach Maßgabe des § 2 Absatz 1 unverzüglich in elektronische Dokumente zu übertragen.</w:t>
      </w:r>
    </w:p>
    <w:p>
      <w:r>
        <w:t xml:space="preserve">(2) Gleiches gilt für abweichend von § 3 in nicht-elektronischer Form erlassene gerichtliche Entscheidungen und Verfügungen.</w:t>
      </w:r>
    </w:p>
    <w:p>
      <w:r>
        <w:rPr>
          <w:color w:val="555555"/>
          <w:sz w:val="17"/>
        </w:rPr>
        <w:t xml:space="preserve">Zitiervorschlag: § 4 NW_31692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https://recht.nulegal.eu/gesetze/NW_31692/4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