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NW_31663 (Nordrhein-Westfalen) — Vermögensübergang, Rechtsnachfolge</w:t>
      </w:r>
    </w:p>
    <w:p>
      <w:r>
        <w:rPr>
          <w:color w:val="555555"/>
          <w:sz w:val="18"/>
        </w:rPr>
        <w:t xml:space="preserve">Errichtungsgesetz d-NRW AöR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Vermögen der d-NRW Besitz-GmbH &amp; Co. KG und der d-NRW Besitz-GmbH Verwaltungsgesellschaft geht mit Errichtung der Anstalt mit dem zu diesem Stichtag vorhandenen Vermögen, das heißt mit allen Gegenständen des Aktiv- und Passivvermögens sowie den Beschäftigungsverhältnissen, unter Auflösung ohne Abwicklung im Wege der Gesamtrechtsnachfolge zum Buchwert auf die Anstalt über. Die Anstalt tritt als Gesamtrechtsnachfolger in alle Rechte und Pflichten ein.</w:t>
      </w:r>
    </w:p>
    <w:p>
      <w:r>
        <w:rPr>
          <w:color w:val="555555"/>
          <w:sz w:val="17"/>
        </w:rPr>
        <w:t xml:space="preserve">Zitiervorschlag: § 3 NW_31663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https://recht.nulegal.eu/gesetze/NW_31663/3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