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NW_31655 (Nordrhein-Westfalen) — Dauer und Erfolg des Probestudiums</w:t>
      </w:r>
    </w:p>
    <w:p>
      <w:r>
        <w:rPr>
          <w:color w:val="555555"/>
          <w:sz w:val="18"/>
        </w:rPr>
        <w:t xml:space="preserve">Berufsbildungshochschulzugangsverordnung- BBHZVO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Probestudium dauert mindestens zwei Semester. Nach dem Ablauf des Probestudiums verliert die auf Probe studierende Person ihren Anspruch auf Teilnahme an den nach der Prüfungsordnung erforderlichen Prüfungen.</w:t>
      </w:r>
    </w:p>
    <w:p>
      <w:r>
        <w:t xml:space="preserve">(2) Das erfolgreiche Probestudium berechtigt studiengangbezogen zur Fortsetzung des Studiums im jeweiligen Studiengang. Das Probestudium ist erfolgreich, wenn</w:t>
      </w:r>
    </w:p>
    <w:p>
      <w:r>
        <w:t xml:space="preserve">1. in Bachelorstudiengängen pro absolviertem Probesemester durchschnittlich mindestens 20 Leistungspunkte nach dem Europäischen System zur Übertragung und Akkumulierung von Credits (ECTS) erworben wurden oder</w:t>
      </w:r>
    </w:p>
    <w:p>
      <w:r>
        <w:t xml:space="preserve">2. in Studiengängen, die mit einer staatlichen oder kirchlichen Prüfung abgeschlossen werden, mindestens zwei Drittel der Studien- und Prüfungsleistungen, die in der jeweiligen Studien- und Prüfungsordnung innerhalb der absolvierten Probesemester vorgesehen sind erfolgreich erbracht wurden.</w:t>
      </w:r>
    </w:p>
    <w:p>
      <w:r>
        <w:t xml:space="preserve">(3) Die Hochschule regelt das Nähere des Probestudiums durch Ordnung. Sie soll insbesondere den Fristablauf nach Absatz 1 Satz 1 und den erforderlichen Nachweis nach Absatz 2 Satz 2 entsprechend anpassen für</w:t>
      </w:r>
    </w:p>
    <w:p>
      <w:r>
        <w:t xml:space="preserve">1. Teilzeitstudierende,</w:t>
      </w:r>
    </w:p>
    <w:p>
      <w:r>
        <w:t xml:space="preserve">2. Studierende mit Behinderung oder chronischer Erkrankung,</w:t>
      </w:r>
    </w:p>
    <w:p>
      <w:r>
        <w:t xml:space="preserve">3. die Mitwirkung als gewählte Vertreterin oder gewählter Vertreter in Organen der Hochschule, der Studierendenschaft, der Fachschaften der Studierendenschaft oder der Studierendenwerke,</w:t>
      </w:r>
    </w:p>
    <w:p>
      <w:r>
        <w:t xml:space="preserve">4. die Wahrnehmung des Amtes der oder des Gleichstellungsbeauftragten,</w:t>
      </w:r>
    </w:p>
    <w:p>
      <w:r>
        <w:t xml:space="preserve">5. die Pflege und Erziehung eines minderjährigen Kindes im Sinne von § 25 Absatz 5 des Bundesausbildungsförderungsgesetzes,</w:t>
      </w:r>
    </w:p>
    <w:p>
      <w:r>
        <w:t xml:space="preserve">6. die Pflege einer oder eines Angehörigen im Sinne von § 16 Absatz 5 des Zehnten Buches Sozialgesetzbuch sowie</w:t>
      </w:r>
    </w:p>
    <w:p>
      <w:r>
        <w:t xml:space="preserve">7. sonstige vergleichbare Umstände.</w:t>
      </w:r>
    </w:p>
    <w:p>
      <w:r>
        <w:t xml:space="preserve">(4) Im Übrigen gelten für das Probestudium die allgemeinen Regeln des Hochschulgesetzes, des Kunsthochschulgesetzes und der Hochschulordnungen zum Studium. Insbesondere werden die auf Probe studierenden Personen nach Maßgabe des § 48 des Hochschulgesetzes beziehungsweise § 40 des Kunsthochschulgesetzes für einen oder mehrere Studiengänge eingeschrieben.</w:t>
      </w:r>
    </w:p>
    <w:p>
      <w:r>
        <w:rPr>
          <w:color w:val="555555"/>
          <w:sz w:val="17"/>
        </w:rPr>
        <w:t xml:space="preserve">Zitiervorschlag: § 5 NW_31655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https://recht.nulegal.eu/gesetze/NW_31655/5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NW_31655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