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NW_31655 (Nordrhein-Westfalen) — Grundsätze</w:t>
      </w:r>
    </w:p>
    <w:p>
      <w:r>
        <w:rPr>
          <w:color w:val="555555"/>
          <w:sz w:val="18"/>
        </w:rPr>
        <w:t xml:space="preserve">Berufsbildungshochschulzugangsverordnung- BBHZVO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Wer in der beruflichen Bildung qualifiziert ist und über keine oder keine ausreichende Hochschulzugangsberechtigung gemäß § 49 Absatz 1 bis 3 des Hochschulgesetzes vom 16. September 2014 (GV. NRW. S. 547) oder gemäß § 41 Absatz 1 bis 3 des Kunsthochschulgesetzes vom 13. März 2008 (GV. NRW. S. 195), das zuletzt durch Artikel 2 des Gesetzes vom 16. September 2014 (GV. NRW. S. 547) geändert worden ist, verfügt, hat nach Maßgabe der folgenden Vorschriften Zugang zu einem Hochschulstudium. Zugangsberechtigt ist, wer</w:t>
      </w:r>
    </w:p>
    <w:p>
      <w:r>
        <w:t xml:space="preserve">1. eine berufliche Aufstiegsfortbildung (Zugang nach § 2),</w:t>
      </w:r>
    </w:p>
    <w:p>
      <w:r>
        <w:t xml:space="preserve">2. eine dem Berufsabschluss und dem angestrebten Studium fachlich entsprechende berufliche Tätigkeit (Zugang nach § 3),</w:t>
      </w:r>
    </w:p>
    <w:p>
      <w:r>
        <w:t xml:space="preserve">3. nach dem Berufsabschluss eine berufliche Tätigkeit und eine Zugangsprüfung (Zugang nach § 4 Absatz 1) oder</w:t>
      </w:r>
    </w:p>
    <w:p>
      <w:r>
        <w:t xml:space="preserve">4. nach dem Berufsabschluss eine berufliche Tätigkeit und ein Probestudium (Zugang nach § 4 Absatz 2)</w:t>
      </w:r>
    </w:p>
    <w:p>
      <w:r>
        <w:t xml:space="preserve">absolviert hat. Die Sätze 1 und 2 gelten entsprechend für im Ausland erworbene und nach den Anerkennungsgesetzen des Bundes oder des Landes gleichwertige Qualifikationen.</w:t>
      </w:r>
    </w:p>
    <w:p>
      <w:r>
        <w:t xml:space="preserve">(2) Zugang besteht zu Studiengängen, die zu einem ersten berufsqualifizierenden Hochschulabschluss führen.</w:t>
      </w:r>
    </w:p>
    <w:p>
      <w:r>
        <w:t xml:space="preserve">(3) Die sonstigen Zugangsvoraussetzungen nach § 49 Absatz 7 bis 10 des Hochschulgesetzes und nach § 41 Absatz 7 bis 10 des Kunsthochschulgesetzes bleiben unberührt.</w:t>
      </w:r>
    </w:p>
    <w:p>
      <w:r>
        <w:t xml:space="preserve">(4) Das Zulassungsrecht bleibt unberührt.</w:t>
      </w:r>
    </w:p>
    <w:p>
      <w:r>
        <w:rPr>
          <w:color w:val="555555"/>
          <w:sz w:val="17"/>
        </w:rPr>
        <w:t xml:space="preserve">Zitiervorschlag: § 1 NW_31655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https://recht.nulegal.eu/gesetze/NW_31655/1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NW_31655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