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NW_31634 (Nordrhein-Westfalen)</w:t>
      </w:r>
    </w:p>
    <w:p>
      <w:r>
        <w:rPr>
          <w:color w:val="555555"/>
          <w:sz w:val="18"/>
        </w:rPr>
        <w:t xml:space="preserve">Verordnung zur Regelung von Zuständigkeiten nach dem Bundesvertriebenengesetz und dem Strafrechtlichen Rehabilitierungsgesetz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Diese Verordnung tritt am Tag nach der Verkündung in Kraft. Gleichzeitig tritt die Verordnung zur Regelung von Zuständigkeiten nach dem Bundesvertriebenengesetz und dem Strafrechtlichen Rehabilitierungsgesetz vom 23. März 2010 (GV. NRW. S. 220) außer Kraft.</w:t>
      </w:r>
    </w:p>
    <w:p>
      <w:r>
        <w:t xml:space="preserve">Die Landesregierung</w:t>
      </w:r>
    </w:p>
    <w:p>
      <w:r>
        <w:t xml:space="preserve">Nordrhein-Westfalen</w:t>
      </w:r>
    </w:p>
    <w:p>
      <w:r>
        <w:t xml:space="preserve">Die Ministerpräsidentin</w:t>
      </w:r>
    </w:p>
    <w:p>
      <w:r>
        <w:t xml:space="preserve">Der Minister</w:t>
      </w:r>
    </w:p>
    <w:p>
      <w:r>
        <w:t xml:space="preserve">für Arbeit, Integration und Soziales</w:t>
      </w:r>
    </w:p>
    <w:p>
      <w:r>
        <w:rPr>
          <w:color w:val="555555"/>
          <w:sz w:val="17"/>
        </w:rPr>
        <w:t xml:space="preserve">Zitiervorschlag: § 4 NW_31634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https://recht.nulegal.eu/gesetze/NW_31634/4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